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AIRMAC Demonstration Use Case</w:t>
      </w:r>
    </w:p>
    <w:p>
      <w:r>
        <w:rPr>
          <w:b w:val="0"/>
        </w:rPr>
        <w:t>Detailed instructions for AIRMAC v1.1.0  |  October 28, 2026</w:t>
      </w:r>
    </w:p>
    <w:p>
      <w:r>
        <w:rPr>
          <w:b w:val="0"/>
        </w:rPr>
        <w:t>Assess AI risk management at a fictional engineering organization, identify two operating gaps, build a leadership roadmap and finalize a reviewable assessment. The guide follows the actual fields and rules in AIRMAC v1.1.0.</w:t>
      </w:r>
    </w:p>
    <w:p>
      <w:pPr>
        <w:pStyle w:val="Heading1"/>
      </w:pPr>
      <w:r>
        <w:t>The scenario and expected outcome</w:t>
      </w:r>
    </w:p>
    <w:p>
      <w:r>
        <w:rPr>
          <w:b w:val="0"/>
        </w:rPr>
        <w:t>Coastal Engineering Services is fictional. Its Engineering Operations unit operates a maintenance prioritization assistant, an engineering document assistant and a workload forecasting model. Leadership wants to know whether its approved AI risk procedures are followed and which improvements deserve attention.</w:t>
      </w:r>
    </w:p>
    <w:p>
      <w:r>
        <w:rPr>
          <w:b w:val="0"/>
        </w:rPr>
        <w:t>The policy framework is established. However, a high-impact residual risk acceptance was signed by the wrong official, and the document assistant lacks an assigned monitoring reviewer. These are the two gaps the exercise should reveal.</w:t>
      </w:r>
    </w:p>
    <w:tbl>
      <w:tblPr>
        <w:tblW w:type="auto" w:w="0"/>
        <w:tblLayout w:type="fixed"/>
        <w:tblLook w:firstColumn="1" w:firstRow="1" w:lastColumn="0" w:lastRow="0" w:noHBand="0" w:noVBand="1" w:val="04A0"/>
      </w:tblPr>
      <w:tblGrid>
        <w:gridCol w:w="2592"/>
        <w:gridCol w:w="7632"/>
      </w:tblGrid>
      <w:tr>
        <w:trPr>
          <w:cantSplit/>
          <w:tblHeader/>
        </w:trPr>
        <w:tc>
          <w:tcPr>
            <w:tcW w:type="dxa" w:w="259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Checkpoint</w:t>
            </w:r>
          </w:p>
        </w:tc>
        <w:tc>
          <w:tcPr>
            <w:tcW w:type="dxa" w:w="763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Expected worked result</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Inventory and sample</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 systems; all 3 sampled; 1 high-impact</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Testing</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42 entries: 39 Pass, 2 Fail, 1 N/A</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Practices</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33 assessed; 31 Meets; 2 gaps</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Capability</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Overall 3 Defined; target 4 Managed</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Domain exception</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Risk criteria 2; the other seven domains 3</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Readiness before sign-off</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Only lead sign-off and reviewer approval remain</w:t>
            </w:r>
          </w:p>
        </w:tc>
      </w:tr>
    </w:tbl>
    <w:p>
      <w:pPr>
        <w:spacing w:after="0"/>
      </w:pPr>
    </w:p>
    <w:p>
      <w:pPr>
        <w:pStyle w:val="Heading1"/>
      </w:pPr>
      <w:r>
        <w:t>Choose a demonstration path</w:t>
      </w:r>
    </w:p>
    <w:p>
      <w:r>
        <w:rPr>
          <w:b/>
        </w:rPr>
        <w:t xml:space="preserve">1. </w:t>
      </w:r>
      <w:r>
        <w:t>Quick demonstration: import AIRMAC_Demo_Worked_Assessment.json. Review the scorecard, T5 and T10 failures, findings and report; then complete the review and export steps on page 8. Allow about 15–25 minutes.</w:t>
      </w:r>
    </w:p>
    <w:p>
      <w:r>
        <w:rPr>
          <w:b/>
        </w:rPr>
        <w:t xml:space="preserve">2. </w:t>
      </w:r>
      <w:r>
        <w:t>Hands-on practice: import AIRMAC_Demo_Starter.json and follow pages 2–8. Scope, inventory, evidence metadata and proposed test criteria are prefilled; test results, ratings, findings, target agreement and sign-off are unfinished. Allow about 60–90 minutes.</w:t>
      </w:r>
    </w:p>
    <w:p>
      <w:r>
        <w:rPr>
          <w:b/>
        </w:rPr>
        <w:t>Before either path, use Export JSON to protect any existing assessment. Import replaces the working assessment in that browser. The application file is not modified by this exercise.</w:t>
      </w:r>
    </w:p>
    <w:p>
      <w:pPr>
        <w:pStyle w:val="Heading2"/>
      </w:pPr>
      <w:r>
        <w:t>Companion files</w:t>
      </w:r>
    </w:p>
    <w:p>
      <w:r>
        <w:rPr>
          <w:b w:val="0"/>
        </w:rPr>
        <w:t>The demonstration ZIP contains this guide, both JSON files and AIRMAC_Demo_Evidence.md. Use the same AIRMAC-v1.1.0.html already delivered. Every person, approval, date, document reference and observation is synthetic training material. Do not reuse the case as evidence for real systems.</w:t>
      </w:r>
    </w:p>
    <w:p>
      <w:r>
        <w:br w:type="page"/>
      </w:r>
    </w:p>
    <w:p>
      <w:pPr>
        <w:pStyle w:val="Heading1"/>
      </w:pPr>
      <w:r>
        <w:t>1  Open the tool and establish scope</w:t>
      </w:r>
    </w:p>
    <w:p>
      <w:r>
        <w:rPr>
          <w:b/>
        </w:rPr>
        <w:t xml:space="preserve">1. </w:t>
      </w:r>
      <w:r>
        <w:t>Download AIRMAC-v1.1.0.html and open the downloaded file in a current desktop browser. Select Method &amp; files in the left navigation. Click Export JSON if you have work to keep.</w:t>
      </w:r>
    </w:p>
    <w:p>
      <w:r>
        <w:rPr>
          <w:b/>
        </w:rPr>
        <w:t xml:space="preserve">2. </w:t>
      </w:r>
      <w:r>
        <w:t>Click Import JSON, choose the starter file, and confirm Import. You should see TRAINING ONLY Coastal Engineering Services. Do not use Load the fictional example; that loads a different Harborview scenario.</w:t>
      </w:r>
    </w:p>
    <w:p>
      <w:r>
        <w:rPr>
          <w:b/>
        </w:rPr>
        <w:t xml:space="preserve">3. </w:t>
      </w:r>
      <w:r>
        <w:t>Open Scope. Review the prefilled entries below. For a blank manual assessment, enter these values. Keep Framework overlay set to None for this case.</w:t>
      </w:r>
    </w:p>
    <w:tbl>
      <w:tblPr>
        <w:tblW w:type="auto" w:w="0"/>
        <w:tblLayout w:type="fixed"/>
        <w:tblLook w:firstColumn="1" w:firstRow="1" w:lastColumn="0" w:lastRow="0" w:noHBand="0" w:noVBand="1" w:val="04A0"/>
      </w:tblPr>
      <w:tblGrid>
        <w:gridCol w:w="2592"/>
        <w:gridCol w:w="7632"/>
      </w:tblGrid>
      <w:tr>
        <w:trPr>
          <w:cantSplit/>
          <w:tblHeader/>
        </w:trPr>
        <w:tc>
          <w:tcPr>
            <w:tcW w:type="dxa" w:w="259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Field</w:t>
            </w:r>
          </w:p>
        </w:tc>
        <w:tc>
          <w:tcPr>
            <w:tcW w:type="dxa" w:w="763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Training entry</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Organization</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TRAINING ONLY Coastal Engineering Services</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Business unit or division</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Engineering Operations</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Scope</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Business unit or division</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Scope notes</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All three Engineering Operations AI systems; Finance and HR excluded. Fictional training only.</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Period and reporting date</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October 2026; 2026-10-28</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Lead and sponsor</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Demo Assessor; Demo VP Engineering</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Current editor identity</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Demo Assessor</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Reconciliation</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2026-10-01; procurement register, IT asset list and engineering application list</w:t>
            </w:r>
          </w:p>
        </w:tc>
      </w:tr>
      <w:tr>
        <w:trPr>
          <w:cantSplit/>
        </w:trPr>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Method</w:t>
            </w:r>
          </w:p>
        </w:tc>
        <w:tc>
          <w:tcPr>
            <w:tcW w:type="dxa" w:w="76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Review synthetic design and operating packages; complete a three-system census and 42 test entries.</w:t>
            </w:r>
          </w:p>
        </w:tc>
      </w:tr>
      <w:tr>
        <w:trPr>
          <w:cantSplit/>
        </w:trPr>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Limitations</w:t>
            </w:r>
          </w:p>
        </w:tc>
        <w:tc>
          <w:tcPr>
            <w:tcW w:type="dxa" w:w="76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Simulation only; no live systems, people or repositories examined.</w:t>
            </w:r>
          </w:p>
        </w:tc>
      </w:tr>
    </w:tbl>
    <w:p>
      <w:pPr>
        <w:spacing w:after="0"/>
      </w:pPr>
    </w:p>
    <w:p>
      <w:r>
        <w:rPr>
          <w:b/>
        </w:rPr>
        <w:t xml:space="preserve">4. </w:t>
      </w:r>
      <w:r>
        <w:t>Scroll to Assessment identity and coverage. Verify the population description: one high-impact system plus both other systems, all sampled. T8 excludes only the in-house system, which has no third-party AI components in this case. No sampling deviation is needed; leave its approval checkbox clear.</w:t>
      </w:r>
    </w:p>
    <w:p>
      <w:pPr>
        <w:pStyle w:val="Heading2"/>
      </w:pPr>
      <w:r>
        <w:t>Inventory and sample</w:t>
      </w:r>
    </w:p>
    <w:p>
      <w:r>
        <w:rPr>
          <w:b/>
        </w:rPr>
        <w:t xml:space="preserve">5. </w:t>
      </w:r>
      <w:r>
        <w:t>Open Inventory &amp; sample. Confirm these three records and their Include in the sample checkboxes. The recommended sample is all three: one high-impact plus both other systems.</w:t>
      </w:r>
    </w:p>
    <w:tbl>
      <w:tblPr>
        <w:tblW w:type="auto" w:w="0"/>
        <w:tblLayout w:type="fixed"/>
        <w:tblLook w:firstColumn="1" w:firstRow="1" w:lastColumn="0" w:lastRow="0" w:noHBand="0" w:noVBand="1" w:val="04A0"/>
      </w:tblPr>
      <w:tblGrid>
        <w:gridCol w:w="4032"/>
        <w:gridCol w:w="2736"/>
        <w:gridCol w:w="3456"/>
      </w:tblGrid>
      <w:tr>
        <w:trPr>
          <w:cantSplit/>
          <w:tblHeader/>
        </w:trPr>
        <w:tc>
          <w:tcPr>
            <w:tcW w:type="dxa" w:w="403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ID and system</w:t>
            </w:r>
          </w:p>
        </w:tc>
        <w:tc>
          <w:tcPr>
            <w:tcW w:type="dxa" w:w="2736"/>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Owner</w:t>
            </w:r>
          </w:p>
        </w:tc>
        <w:tc>
          <w:tcPr>
            <w:tcW w:type="dxa" w:w="3456"/>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Source and tier</w:t>
            </w:r>
          </w:p>
        </w:tc>
      </w:tr>
      <w:tr>
        <w:trPr>
          <w:cantSplit/>
        </w:trPr>
        <w:tc>
          <w:tcPr>
            <w:tcW w:type="dxa" w:w="40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S-01 Maintenance prioritization assistant</w:t>
            </w:r>
          </w:p>
        </w:tc>
        <w:tc>
          <w:tcPr>
            <w:tcW w:type="dxa" w:w="273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Demo Operations Lead</w:t>
            </w:r>
          </w:p>
        </w:tc>
        <w:tc>
          <w:tcPr>
            <w:tcW w:type="dxa" w:w="345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Third-party; High-impact</w:t>
            </w:r>
          </w:p>
        </w:tc>
      </w:tr>
      <w:tr>
        <w:trPr>
          <w:cantSplit/>
        </w:trPr>
        <w:tc>
          <w:tcPr>
            <w:tcW w:type="dxa" w:w="40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S-02 Engineering document assistant</w:t>
            </w:r>
          </w:p>
        </w:tc>
        <w:tc>
          <w:tcPr>
            <w:tcW w:type="dxa" w:w="273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Demo IT Applications Lead</w:t>
            </w:r>
          </w:p>
        </w:tc>
        <w:tc>
          <w:tcPr>
            <w:tcW w:type="dxa" w:w="345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Third-party; Moderate</w:t>
            </w:r>
          </w:p>
        </w:tc>
      </w:tr>
      <w:tr>
        <w:trPr>
          <w:cantSplit/>
        </w:trPr>
        <w:tc>
          <w:tcPr>
            <w:tcW w:type="dxa" w:w="40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S-03 Workload forecasting model</w:t>
            </w:r>
          </w:p>
        </w:tc>
        <w:tc>
          <w:tcPr>
            <w:tcW w:type="dxa" w:w="273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Demo Planning Lead</w:t>
            </w:r>
          </w:p>
        </w:tc>
        <w:tc>
          <w:tcPr>
            <w:tcW w:type="dxa" w:w="345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Built in-house; Low</w:t>
            </w:r>
          </w:p>
        </w:tc>
      </w:tr>
    </w:tbl>
    <w:p>
      <w:pPr>
        <w:spacing w:after="0"/>
      </w:pPr>
    </w:p>
    <w:p>
      <w:r>
        <w:rPr>
          <w:b w:val="0"/>
        </w:rPr>
        <w:t>All are in Operation and Previously assessed, with last assessment 2026-10-15. Results: S-01 Not acceptable, S-02 Acceptable with conditions, S-03 Acceptable. Open high/critical risk counts: 1, 0, 0. Scroll below the original inventory cards to review intended purpose, history and test eligibility. S-01 remains advisory under independent human scheduling while its acceptance issue is addressed.</w:t>
      </w:r>
    </w:p>
    <w:p>
      <w:r>
        <w:rPr>
          <w:b w:val="0"/>
        </w:rPr>
        <w:t>Checkpoint: 3 inventory records, 3 sampled, 1 high-impact. All other tests are Applicable; only S-03/T8 is Not applicable with its explanation. Use the supplied historical dates only as part of this fictional record-entry exercise; do not backdate real assessment work.</w:t>
      </w:r>
    </w:p>
    <w:p>
      <w:r>
        <w:br w:type="page"/>
      </w:r>
    </w:p>
    <w:p>
      <w:pPr>
        <w:pStyle w:val="Heading1"/>
      </w:pPr>
      <w:r>
        <w:t>2  Review evidence before assigning ratings</w:t>
      </w:r>
    </w:p>
    <w:p>
      <w:r>
        <w:rPr>
          <w:b/>
        </w:rPr>
        <w:t xml:space="preserve">1. </w:t>
      </w:r>
      <w:r>
        <w:t>Open Evidence. The starter file contains 19 synthetic evidence records. Open AIRMAC_Demo_Evidence.md alongside AIRMAC to read what each package represents. References point to sections of that companion file, not real repositories.</w:t>
      </w:r>
    </w:p>
    <w:tbl>
      <w:tblPr>
        <w:tblW w:type="auto" w:w="0"/>
        <w:tblLayout w:type="fixed"/>
        <w:tblLook w:firstColumn="1" w:firstRow="1" w:lastColumn="0" w:lastRow="0" w:noHBand="0" w:noVBand="1" w:val="04A0"/>
      </w:tblPr>
      <w:tblGrid>
        <w:gridCol w:w="4608"/>
        <w:gridCol w:w="2808"/>
        <w:gridCol w:w="2808"/>
      </w:tblGrid>
      <w:tr>
        <w:trPr>
          <w:cantSplit/>
          <w:tblHeader/>
        </w:trPr>
        <w:tc>
          <w:tcPr>
            <w:tcW w:type="dxa" w:w="460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Domain or system</w:t>
            </w:r>
          </w:p>
        </w:tc>
        <w:tc>
          <w:tcPr>
            <w:tcW w:type="dxa" w:w="280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Design record</w:t>
            </w:r>
          </w:p>
        </w:tc>
        <w:tc>
          <w:tcPr>
            <w:tcW w:type="dxa" w:w="280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Operating record</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Governance and accountability</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E-01</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E-09</w:t>
            </w:r>
          </w:p>
        </w:tc>
      </w:tr>
      <w:tr>
        <w:trPr>
          <w:cantSplit/>
        </w:trPr>
        <w:tc>
          <w:tcPr>
            <w:tcW w:type="dxa" w:w="46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Risk appetite and decision criteria</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E-02</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E-10</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Inventory and lifecycle</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E-03</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E-11</w:t>
            </w:r>
          </w:p>
        </w:tc>
      </w:tr>
      <w:tr>
        <w:trPr>
          <w:cantSplit/>
        </w:trPr>
        <w:tc>
          <w:tcPr>
            <w:tcW w:type="dxa" w:w="46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People and human oversight</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E-04</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E-12</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Third-party and supply chain</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E-05</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E-13</w:t>
            </w:r>
          </w:p>
        </w:tc>
      </w:tr>
      <w:tr>
        <w:trPr>
          <w:cantSplit/>
        </w:trPr>
        <w:tc>
          <w:tcPr>
            <w:tcW w:type="dxa" w:w="46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Stakeholders and transparency</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E-06</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E-14</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Testing monitoring and incidents</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E-07</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E-15</w:t>
            </w:r>
          </w:p>
        </w:tc>
      </w:tr>
      <w:tr>
        <w:trPr>
          <w:cantSplit/>
        </w:trPr>
        <w:tc>
          <w:tcPr>
            <w:tcW w:type="dxa" w:w="46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Program improvement</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E-08</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E-16</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S-01 test package</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Not a design package</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w:t>
            </w:r>
          </w:p>
        </w:tc>
      </w:tr>
      <w:tr>
        <w:trPr>
          <w:cantSplit/>
        </w:trPr>
        <w:tc>
          <w:tcPr>
            <w:tcW w:type="dxa" w:w="46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S-02 test package</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Not a design package</w:t>
            </w:r>
          </w:p>
        </w:tc>
        <w:tc>
          <w:tcPr>
            <w:tcW w:type="dxa" w:w="28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E-18</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S-03 test package</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Not a design package</w:t>
            </w:r>
          </w:p>
        </w:tc>
        <w:tc>
          <w:tcPr>
            <w:tcW w:type="dxa" w:w="28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E-19</w:t>
            </w:r>
          </w:p>
        </w:tc>
      </w:tr>
    </w:tbl>
    <w:p>
      <w:pPr>
        <w:spacing w:after="0"/>
      </w:pPr>
    </w:p>
    <w:p>
      <w:r>
        <w:rPr>
          <w:b/>
        </w:rPr>
        <w:t xml:space="preserve">2. </w:t>
      </w:r>
      <w:r>
        <w:t>Inspect E-02. Its Title is Risk Appetite &amp; Decision Criteria design package; Type is Policy; Record date is 2026-09-15; Source is Demo Risk criteria Owner; Reference is AIRMAC_Demo_Evidence.md — E-02; Source confidence is Moderate. Read Relevance to see the scope of its policy and delegation records.</w:t>
      </w:r>
    </w:p>
    <w:p>
      <w:r>
        <w:rPr>
          <w:b/>
        </w:rPr>
        <w:t xml:space="preserve">3. </w:t>
      </w:r>
      <w:r>
        <w:t>Inspect E-17. Its Type is Sample test; Record date is 2026-10-20; Source is Demo Assessor. The package documents S-01 observations, including the failed T5 acceptance. Adverse evidence is still useful evidence: it supports a negative conclusion.</w:t>
      </w:r>
    </w:p>
    <w:p>
      <w:r>
        <w:rPr>
          <w:b/>
        </w:rPr>
        <w:t xml:space="preserve">4. </w:t>
      </w:r>
      <w:r>
        <w:t>When adding evidence in your own assessment, click Add evidence record and complete Title, Type, Source confidence, Record date, Source or owner, Retrievable reference or location, and Relevance. If the date is genuinely unavailable, explain its absence in the dedicated field. Add notes where helpful.</w:t>
      </w:r>
    </w:p>
    <w:p>
      <w:pPr>
        <w:pStyle w:val="Heading2"/>
      </w:pPr>
      <w:r>
        <w:t>Link evidence to the conclusion it supports</w:t>
      </w:r>
    </w:p>
    <w:p>
      <w:r>
        <w:rPr>
          <w:b w:val="0"/>
        </w:rPr>
        <w:t>Use Design evidence on a practice to link approved requirements and procedures. Use Operating evidence to link records demonstrating what actually happened. Use Test evidence on each observation to link the relevant system package. Finding evidence supports the condition and severity; Closure verification evidence supports a later closure decision.</w:t>
      </w:r>
    </w:p>
    <w:p>
      <w:r>
        <w:rPr>
          <w:b w:val="0"/>
        </w:rPr>
        <w:t>For sampled practices in this case, link E-17, E-18 and E-19 as Operating evidence. For organization-wide practices, link the operating package for that domain. The two practice-map pages at the end list every required link.</w:t>
      </w:r>
    </w:p>
    <w:p>
      <w:r>
        <w:rPr>
          <w:b w:val="0"/>
        </w:rPr>
        <w:t>Source confidence belongs to a record. Design conclusion confidence and Operating conclusion confidence are separate assessor judgments. Explain currency, relevance, coverage, reliability and contradictions. Do not mark High merely to obtain a higher level. This exercise uses Moderate throughout.</w:t>
      </w:r>
    </w:p>
    <w:p>
      <w:r>
        <w:rPr>
          <w:b w:val="0"/>
        </w:rPr>
        <w:t>Checkpoint: all 19 records display Metadata complete. Merely creating a record, or adding it to General references on a practice, does not satisfy the separate design and operating evidence requirements.</w:t>
      </w:r>
    </w:p>
    <w:p>
      <w:r>
        <w:br w:type="page"/>
      </w:r>
    </w:p>
    <w:p>
      <w:pPr>
        <w:pStyle w:val="Heading1"/>
      </w:pPr>
      <w:r>
        <w:t>3  Approve the plan and record observations</w:t>
      </w:r>
    </w:p>
    <w:p>
      <w:r>
        <w:rPr>
          <w:b/>
        </w:rPr>
        <w:t xml:space="preserve">1. </w:t>
      </w:r>
      <w:r>
        <w:t>Open Sample tests. Expand Test plan before fieldwork and review all 14 proposed criteria and applicability statements. T5 must require the correct delegated accepting official, conditions, expiry and review date. T10 must require a named reviewer and evidence of required monitoring review.</w:t>
      </w:r>
    </w:p>
    <w:p>
      <w:r>
        <w:rPr>
          <w:b/>
        </w:rPr>
        <w:t xml:space="preserve">2. </w:t>
      </w:r>
      <w:r>
        <w:t>For the historical case, enter Plan approval identity Demo Reviewer and Plan approval date 2026-10-01. Select Plan approved before fieldwork after reviewing the criteria. Changing a criterion later clears plan approval and requires it to be recorded again.</w:t>
      </w:r>
    </w:p>
    <w:p>
      <w:r>
        <w:rPr>
          <w:b/>
        </w:rPr>
        <w:t xml:space="preserve">3. </w:t>
      </w:r>
      <w:r>
        <w:t>Scroll to each system card. Expand each test and use the matrix below. For every result enter Assessor Demo Assessor, Test date 2026-10-20, the system evidence package and the observation. Complete all 42 records; changing only a result dropdown is insufficient.</w:t>
      </w:r>
    </w:p>
    <w:tbl>
      <w:tblPr>
        <w:tblW w:type="auto" w:w="0"/>
        <w:tblLayout w:type="fixed"/>
        <w:tblLook w:firstColumn="1" w:firstRow="1" w:lastColumn="0" w:lastRow="0" w:noHBand="0" w:noVBand="1" w:val="04A0"/>
      </w:tblPr>
      <w:tblGrid>
        <w:gridCol w:w="3528"/>
        <w:gridCol w:w="1008"/>
        <w:gridCol w:w="1008"/>
        <w:gridCol w:w="1008"/>
        <w:gridCol w:w="3672"/>
      </w:tblGrid>
      <w:tr>
        <w:trPr>
          <w:cantSplit/>
          <w:tblHeader/>
        </w:trPr>
        <w:tc>
          <w:tcPr>
            <w:tcW w:type="dxa" w:w="352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Test and focus</w:t>
            </w:r>
          </w:p>
        </w:tc>
        <w:tc>
          <w:tcPr>
            <w:tcW w:type="dxa" w:w="100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S-01</w:t>
            </w:r>
          </w:p>
        </w:tc>
        <w:tc>
          <w:tcPr>
            <w:tcW w:type="dxa" w:w="100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S-02</w:t>
            </w:r>
          </w:p>
        </w:tc>
        <w:tc>
          <w:tcPr>
            <w:tcW w:type="dxa" w:w="100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S-03</w:t>
            </w:r>
          </w:p>
        </w:tc>
        <w:tc>
          <w:tcPr>
            <w:tcW w:type="dxa" w:w="367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Operating result</w:t>
            </w:r>
          </w:p>
        </w:tc>
      </w:tr>
      <w:tr>
        <w:trPr>
          <w:cantSplit/>
        </w:trPr>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 Inventory</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T2 Tier</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T3 Assessment</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T4 Deployment gate</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T5 Risk acceptance</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Fail</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Not operating</w:t>
            </w:r>
          </w:p>
        </w:tc>
      </w:tr>
      <w:tr>
        <w:trPr>
          <w:cantSplit/>
        </w:trPr>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T6 Human oversight</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T7 Impacts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T8 Due diligence</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N/A</w:t>
            </w:r>
          </w:p>
        </w:tc>
        <w:tc>
          <w:tcPr>
            <w:tcW w:type="dxa" w:w="367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T9 Evaluation</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T10 Monitoring</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Fail</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Inconsistent</w:t>
            </w:r>
          </w:p>
        </w:tc>
      </w:tr>
      <w:tr>
        <w:trPr>
          <w:cantSplit/>
        </w:trPr>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T11 Reassessment</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T12 Reporting channel</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T13 Training</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r>
        <w:trPr>
          <w:cantSplit/>
        </w:trPr>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T14 Fallback and retirement</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100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Pass</w:t>
            </w:r>
          </w:p>
        </w:tc>
        <w:tc>
          <w:tcPr>
            <w:tcW w:type="dxa" w:w="367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Effective</w:t>
            </w:r>
          </w:p>
        </w:tc>
      </w:tr>
    </w:tbl>
    <w:p>
      <w:pPr>
        <w:spacing w:after="0"/>
      </w:pPr>
    </w:p>
    <w:p>
      <w:r>
        <w:rPr>
          <w:b w:val="0"/>
        </w:rPr>
        <w:t>For Pass: keep Eligibility Applicable; link E-17 for S-01, E-18 for S-02 or E-19 for S-03. In Observation and exception explanation, identify the inspected record and why the criterion is met. The companion evidence file provides the synthetic observation text.</w:t>
      </w:r>
    </w:p>
    <w:p>
      <w:r>
        <w:rPr>
          <w:b w:val="0"/>
        </w:rPr>
        <w:t>For S-01/T5 Fail: record that RA-01 was signed by the project manager rather than the required VP Engineering. Keep Applicable and link E-17. No additional-critical checkbox is necessary: this high-impact acceptance failure triggers the built-in override.</w:t>
      </w:r>
    </w:p>
    <w:p>
      <w:r>
        <w:rPr>
          <w:b w:val="0"/>
        </w:rPr>
        <w:t>For S-02/T10 Fail: record that MON-S02 has metrics and thresholds but no named reviewer or scheduled review evidence; link E-18. For S-03/T8, select Not applicable eligibility, result N/A and the no-third-party-component reason. Enter the assessor and date; E-19 may remain linked.</w:t>
      </w:r>
    </w:p>
    <w:p>
      <w:r>
        <w:rPr>
          <w:b w:val="0"/>
        </w:rPr>
        <w:t>Checkpoint: T5 is Not operating despite 2 of 3 passes; T10 is Inconsistent at 2 of 3 passes. T8 is Effective on its 2 applicable observations. The other 11 tests are Effective. No observation record remains incomplete.</w:t>
      </w:r>
    </w:p>
    <w:p>
      <w:r>
        <w:br w:type="page"/>
      </w:r>
    </w:p>
    <w:p>
      <w:pPr>
        <w:pStyle w:val="Heading1"/>
      </w:pPr>
      <w:r>
        <w:t>4  Rate design and operation separately</w:t>
      </w:r>
    </w:p>
    <w:p>
      <w:r>
        <w:rPr>
          <w:b/>
        </w:rPr>
        <w:t xml:space="preserve">1. </w:t>
      </w:r>
      <w:r>
        <w:t>Open Practices. Select a practice in the left list. Review its statement and guiding questions. Enter Design status and Rationale. Scroll below the practice card to Evidence sufficiency and assessment limitations; this lower section contains the new evidence links and confidence fields.</w:t>
      </w:r>
    </w:p>
    <w:p>
      <w:r>
        <w:rPr>
          <w:b/>
        </w:rPr>
        <w:t xml:space="preserve">2. </w:t>
      </w:r>
      <w:r>
        <w:t>For each practice, use the two practice-map pages at the end of this guide. All 33 have Established design. Select Moderate for both confidence fields. Link the listed Design evidence and Operating evidence, then explain why each set supports its conclusion.</w:t>
      </w:r>
    </w:p>
    <w:p>
      <w:r>
        <w:rPr>
          <w:b/>
        </w:rPr>
        <w:t xml:space="preserve">3. </w:t>
      </w:r>
      <w:r>
        <w:t>For practices with a system test, operation is derived from Sample tests and cannot be directly selected here. For organization-wide practices, choose Effective in Operation from direct evidence, supported by the domain operating package. Do not mark a practice N/A merely because no convenient evidence exists.</w:t>
      </w:r>
    </w:p>
    <w:p>
      <w:pPr>
        <w:pStyle w:val="Heading2"/>
      </w:pPr>
      <w:r>
        <w:t>Example A  GOV 1 policy</w:t>
      </w:r>
    </w:p>
    <w:p>
      <w:r>
        <w:rPr>
          <w:b w:val="0"/>
        </w:rPr>
        <w:t>Design status: Established. Rationale: “The approved lifecycle policy addresses the required trustworthy characteristics, names responsibility and applies to Engineering Operations.” Design evidence: E-01. Design confidence: Moderate. Design sufficiency: “Current approved policy covers every material element and all three systems; scope is the declared unit.”</w:t>
      </w:r>
    </w:p>
    <w:p>
      <w:r>
        <w:rPr>
          <w:b w:val="0"/>
        </w:rPr>
        <w:t>Operation from direct evidence: Effective. Operating evidence: E-09. Operating confidence: Moderate. Operating sufficiency: “October board minutes and policy implementation records show use across the assessment period. No contradictory implementation record is identified in the synthetic package.” Expected practice status: Meets.</w:t>
      </w:r>
    </w:p>
    <w:p>
      <w:pPr>
        <w:pStyle w:val="Heading2"/>
      </w:pPr>
      <w:r>
        <w:t>Example B  RSK 4 residual risk acceptance</w:t>
      </w:r>
    </w:p>
    <w:p>
      <w:r>
        <w:rPr>
          <w:b w:val="0"/>
        </w:rPr>
        <w:t>Design status: Established. Design evidence: E-02. Rationale: “The delegation is approved and complete, but S-01 acceptance was signed outside its authority. This is an operating failure.” Operating evidence: E-17, E-18 and E-19; operation derives from T5 and must show Not operating.</w:t>
      </w:r>
    </w:p>
    <w:p>
      <w:r>
        <w:rPr>
          <w:b w:val="0"/>
        </w:rPr>
        <w:t>Use Moderate for both confidence fields. Operating sufficiency: “The three current system packages cover the population. E-17 directly establishes unauthorized acceptance; the other two acceptances pass. The adverse observation supports confidence in the negative conclusion.” Expected practice status: Gap.</w:t>
      </w:r>
    </w:p>
    <w:p>
      <w:pPr>
        <w:pStyle w:val="Heading2"/>
      </w:pPr>
      <w:r>
        <w:t>Example C  MON 2 monitoring</w:t>
      </w:r>
    </w:p>
    <w:p>
      <w:r>
        <w:rPr>
          <w:b w:val="0"/>
        </w:rPr>
        <w:t>Design status: Established; Design evidence E-07. Operating evidence: E-17, E-18 and E-19. Rationale: “The standard requires metrics, thresholds and a named reviewer; S-02 has no reviewer. Two systems pass and one fails.” T10 derives Inconsistent. Both confidence fields are Moderate. Expected status: Gap.</w:t>
      </w:r>
    </w:p>
    <w:p>
      <w:r>
        <w:rPr>
          <w:b w:val="0"/>
        </w:rPr>
        <w:t>Some dropdown and checkbox changes redraw the page and collapse expanded sections. Reopen the same practice or test section and continue; completed entries are retained. Save a JSON checkpoint between major stages.</w:t>
      </w:r>
    </w:p>
    <w:p>
      <w:pPr>
        <w:pStyle w:val="Heading2"/>
      </w:pPr>
      <w:r>
        <w:t>Avoid three common mistakes</w:t>
      </w:r>
    </w:p>
    <w:p>
      <w:r>
        <w:rPr>
          <w:b w:val="0"/>
        </w:rPr>
        <w:t>Do not reduce design to Partial solely because an otherwise complete procedure was not followed. Do not describe adverse evidence as weak just because it reveals a deficiency. Do not select domain measurement or improvement attestations merely because the organization owns some metrics.</w:t>
      </w:r>
    </w:p>
    <w:p>
      <w:r>
        <w:rPr>
          <w:b w:val="0"/>
        </w:rPr>
        <w:t>Checkpoint: 33 assessed, 31 Meets and 2 gaps. No practice should remain To rate or Operation not verified. Use Show gaps and unrated only to focus on RSK-4 and MON-2.</w:t>
      </w:r>
    </w:p>
    <w:p>
      <w:r>
        <w:br w:type="page"/>
      </w:r>
    </w:p>
    <w:p>
      <w:pPr>
        <w:pStyle w:val="Heading1"/>
      </w:pPr>
      <w:r>
        <w:t>5  Set maturity and document the first finding</w:t>
      </w:r>
    </w:p>
    <w:p>
      <w:r>
        <w:rPr>
          <w:b/>
        </w:rPr>
        <w:t xml:space="preserve">1. </w:t>
      </w:r>
      <w:r>
        <w:t>Open Maturity. In Sponsor agreement on targets, enter the reference “Demo sponsor planning record 2026-10-01” and select Sponsor agrees target levels. These are fictional historical approvals for this case.</w:t>
      </w:r>
    </w:p>
    <w:p>
      <w:r>
        <w:rPr>
          <w:b/>
        </w:rPr>
        <w:t xml:space="preserve">2. </w:t>
      </w:r>
      <w:r>
        <w:t>Set the current and target values below. Enter a rationale for every domain. Leave the level 4 measurement and level 5 improvement checkboxes clear: the synthetic records do not demonstrate the required domain-wide measurement/review and improvement cycles.</w:t>
      </w:r>
    </w:p>
    <w:tbl>
      <w:tblPr>
        <w:tblW w:type="auto" w:w="0"/>
        <w:tblLayout w:type="fixed"/>
        <w:tblLook w:firstColumn="1" w:firstRow="1" w:lastColumn="0" w:lastRow="0" w:noHBand="0" w:noVBand="1" w:val="04A0"/>
      </w:tblPr>
      <w:tblGrid>
        <w:gridCol w:w="5904"/>
        <w:gridCol w:w="1296"/>
        <w:gridCol w:w="1296"/>
        <w:gridCol w:w="1728"/>
      </w:tblGrid>
      <w:tr>
        <w:trPr>
          <w:cantSplit/>
          <w:tblHeader/>
        </w:trPr>
        <w:tc>
          <w:tcPr>
            <w:tcW w:type="dxa" w:w="5904"/>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Domain</w:t>
            </w:r>
          </w:p>
        </w:tc>
        <w:tc>
          <w:tcPr>
            <w:tcW w:type="dxa" w:w="1296"/>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Current</w:t>
            </w:r>
          </w:p>
        </w:tc>
        <w:tc>
          <w:tcPr>
            <w:tcW w:type="dxa" w:w="1296"/>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Target</w:t>
            </w:r>
          </w:p>
        </w:tc>
        <w:tc>
          <w:tcPr>
            <w:tcW w:type="dxa" w:w="172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Evidence ceiling</w:t>
            </w:r>
          </w:p>
        </w:tc>
      </w:tr>
      <w:tr>
        <w:trPr>
          <w:cantSplit/>
        </w:trPr>
        <w:tc>
          <w:tcPr>
            <w:tcW w:type="dxa" w:w="590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Governance &amp; Accountability</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r>
      <w:tr>
        <w:trPr>
          <w:cantSplit/>
        </w:trPr>
        <w:tc>
          <w:tcPr>
            <w:tcW w:type="dxa" w:w="590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Risk Appetite &amp; Decision Criteria</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2</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2</w:t>
            </w:r>
          </w:p>
        </w:tc>
      </w:tr>
      <w:tr>
        <w:trPr>
          <w:cantSplit/>
        </w:trPr>
        <w:tc>
          <w:tcPr>
            <w:tcW w:type="dxa" w:w="590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AI Inventory &amp; Lifecycle</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r>
      <w:tr>
        <w:trPr>
          <w:cantSplit/>
        </w:trPr>
        <w:tc>
          <w:tcPr>
            <w:tcW w:type="dxa" w:w="590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People, Culture &amp; Human Oversight</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r>
      <w:tr>
        <w:trPr>
          <w:cantSplit/>
        </w:trPr>
        <w:tc>
          <w:tcPr>
            <w:tcW w:type="dxa" w:w="590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Third-Party &amp; Supply Chain</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r>
      <w:tr>
        <w:trPr>
          <w:cantSplit/>
        </w:trPr>
        <w:tc>
          <w:tcPr>
            <w:tcW w:type="dxa" w:w="590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Stakeholder Engagement &amp; Transparency</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r>
      <w:tr>
        <w:trPr>
          <w:cantSplit/>
        </w:trPr>
        <w:tc>
          <w:tcPr>
            <w:tcW w:type="dxa" w:w="590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Testing, Monitoring &amp; Incident Response</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c>
          <w:tcPr>
            <w:tcW w:type="dxa" w:w="129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r>
      <w:tr>
        <w:trPr>
          <w:cantSplit/>
        </w:trPr>
        <w:tc>
          <w:tcPr>
            <w:tcW w:type="dxa" w:w="590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Program Performance &amp; Improvement</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c>
          <w:tcPr>
            <w:tcW w:type="dxa" w:w="129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4</w:t>
            </w:r>
          </w:p>
        </w:tc>
        <w:tc>
          <w:tcPr>
            <w:tcW w:type="dxa" w:w="17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3</w:t>
            </w:r>
          </w:p>
        </w:tc>
      </w:tr>
    </w:tbl>
    <w:p>
      <w:pPr>
        <w:spacing w:after="0"/>
      </w:pPr>
    </w:p>
    <w:p>
      <w:r>
        <w:rPr>
          <w:b w:val="0"/>
        </w:rPr>
        <w:t>The overall current is 3: the lower median is 3 and the weakest-domain cap is 2 + 1 = 3. Overall target is 4. A leadership target does not raise the current evidence ceiling. Explain Risk criteria as “unauthorized high-impact acceptance caps the current level at 2”; Monitoring is 3 because the process operates inconsistently.</w:t>
      </w:r>
    </w:p>
    <w:p>
      <w:r>
        <w:rPr>
          <w:b/>
        </w:rPr>
        <w:t xml:space="preserve">3. </w:t>
      </w:r>
      <w:r>
        <w:t>Open Findings &amp; roadmap. Select Draft findings for 2 gap(s) without one. The drafts are starting text. Complete each original finding card and its separate lower action and verification card. On an untouched starter file, the two findings should be F-01 and F-02.</w:t>
      </w:r>
    </w:p>
    <w:p>
      <w:pPr>
        <w:pStyle w:val="Heading2"/>
      </w:pPr>
      <w:r>
        <w:t>F 01  High impact residual risk acceptance</w:t>
      </w:r>
    </w:p>
    <w:p>
      <w:r>
        <w:rPr>
          <w:b w:val="0"/>
        </w:rPr>
        <w:t>Practice RSK-4; affected system S-01; evidence E-02, E-10 and E-17. Title: High-impact residual risk accepted outside delegated authority. Severity High; owner Demo AI Governance Lead; horizon 30 days; actual due date 2026-11-27; status Open.</w:t>
      </w:r>
    </w:p>
    <w:p>
      <w:r>
        <w:rPr>
          <w:b w:val="0"/>
        </w:rPr>
        <w:t>Condition: RA-01 was signed by the project manager rather than the delegated VP Engineering. Criteria: the RSK-4 practice statement. Cause: the acceptance workflow did not check the signer against the authority matrix. Effect: a material residual risk lacks acceptance by the accountable authority.</w:t>
      </w:r>
    </w:p>
    <w:p>
      <w:r>
        <w:rPr>
          <w:b w:val="0"/>
        </w:rPr>
        <w:t>Recommendation: obtain a new VP Engineering decision with explicit conditions and expiry; add authority validation to the workflow; independently retest T5. Severity rationale: a mandatory high-impact acceptance control failed, while independent human scheduling limits immediate exposure.</w:t>
      </w:r>
    </w:p>
    <w:p>
      <w:r>
        <w:rPr>
          <w:b w:val="0"/>
        </w:rPr>
        <w:t>Interim safeguards: keep priorities advisory and require independent human scheduling authorization. Dependencies: none beyond the named decision and owner. Resources: two staff days from governance and operations. Leadership decision: approve, condition or reject continued use and fund workflow correction.</w:t>
      </w:r>
    </w:p>
    <w:p>
      <w:r>
        <w:rPr>
          <w:b w:val="0"/>
        </w:rPr>
        <w:t>Closure criteria: authorized decision with conditions, review and expiry dates; workflow rejects unauthorized signers; independent T5 retest passes. Disposition: system-specific finding; S-01 linked. Leave disposition approval, closure evidence and verification fields clear while Open. Do not select Risk accepted to bypass the failed process control.</w:t>
      </w:r>
    </w:p>
    <w:p>
      <w:r>
        <w:br w:type="page"/>
      </w:r>
    </w:p>
    <w:p>
      <w:pPr>
        <w:pStyle w:val="Heading1"/>
      </w:pPr>
      <w:r>
        <w:t>6  Complete the roadmap and leadership message</w:t>
      </w:r>
    </w:p>
    <w:p>
      <w:pPr>
        <w:pStyle w:val="Heading2"/>
      </w:pPr>
      <w:r>
        <w:t>F 02  Monitoring reviewer not assigned</w:t>
      </w:r>
    </w:p>
    <w:p>
      <w:r>
        <w:rPr>
          <w:b w:val="0"/>
        </w:rPr>
        <w:t>Practice MON-2; affected system S-02; evidence E-07, E-15 and E-18. Title: Monitoring reviewer not assigned for the document assistant. Severity Medium; owner Demo IT Applications Lead; horizon 30 days; actual due date 2026-11-27; status Open.</w:t>
      </w:r>
    </w:p>
    <w:p>
      <w:r>
        <w:rPr>
          <w:b w:val="0"/>
        </w:rPr>
        <w:t>Condition: MON-S02 contains metrics and thresholds but no assigned reviewer or evidence of scheduled review. Criteria: the MON-2 practice statement. Cause: the handoff checklist omitted reviewer acceptance. Effect: incorrect or outdated guidance may persist without timely review.</w:t>
      </w:r>
    </w:p>
    <w:p>
      <w:r>
        <w:rPr>
          <w:b w:val="0"/>
        </w:rPr>
        <w:t>Recommendation: assign a reviewer and deputy, complete and record the first review, and add reviewer acceptance to the handoff checklist. Severity rationale: a meaningful weakness affects a moderate-tier system; human source verification reduces current exposure.</w:t>
      </w:r>
    </w:p>
    <w:p>
      <w:r>
        <w:rPr>
          <w:b w:val="0"/>
        </w:rPr>
        <w:t>Interim safeguards: users verify cited procedures before acting and the applications lead checks reported issues daily. Dependencies: none beyond the assigned decision and owner. Resources: one staff day initially and one hour weekly. Leadership decision: confirm reviewer capacity and the weekly commitment.</w:t>
      </w:r>
    </w:p>
    <w:p>
      <w:r>
        <w:rPr>
          <w:b w:val="0"/>
        </w:rPr>
        <w:t>Closure criteria: reviewer and deputy acknowledge responsibility; first review is recorded; independent T10 retest passes. Disposition: system-specific finding; S-02 linked. Leave closure verification and risk-acceptance fields empty while the finding remains Open.</w:t>
      </w:r>
    </w:p>
    <w:p>
      <w:r>
        <w:rPr>
          <w:b/>
        </w:rPr>
        <w:t xml:space="preserve">1. </w:t>
      </w:r>
      <w:r>
        <w:t>Inspect the roadmap. Both findings should appear in the 30 days column, with their owners and severities. Open items with actual dates also appear in the exported leadership action table. Confirm the findings express who must do what, by when, and how completion will be verified.</w:t>
      </w:r>
    </w:p>
    <w:p>
      <w:r>
        <w:rPr>
          <w:b/>
        </w:rPr>
        <w:t xml:space="preserve">2. </w:t>
      </w:r>
      <w:r>
        <w:t>Open Report &amp; sign-off and scroll to Executive summary. Enter the three paragraphs below, or use the equivalent prefilled summary in the worked file. These are fictional conclusions, not assertions about a real organization.</w:t>
      </w:r>
    </w:p>
    <w:p>
      <w:pPr>
        <w:pStyle w:val="Heading2"/>
      </w:pPr>
      <w:r>
        <w:t>Suggested executive summary</w:t>
      </w:r>
    </w:p>
    <w:p>
      <w:r>
        <w:rPr>
          <w:b w:val="0"/>
        </w:rPr>
        <w:t>“TRAINING ONLY. The assessment covers a census of three Engineering Operations AI systems. Overall capability is level 3 Defined against a target of level 4 Managed. Seven domains are level 3; Risk Appetite and Decision Criteria is level 2 because a high-impact acceptance was signed outside delegated authority.”</w:t>
      </w:r>
    </w:p>
    <w:p>
      <w:r>
        <w:rPr>
          <w:b w:val="0"/>
        </w:rPr>
        <w:t>“Thirty-one practices meet the assessed expectations and two have verified operating gaps. Leadership should resolve S-01 acceptance first and retain independent human scheduling authorization. It should also assign S-02 monitoring ownership and resource recurring review. Each finding has an accountable owner, a November 27 due date and observable closure criteria.”</w:t>
      </w:r>
    </w:p>
    <w:p>
      <w:r>
        <w:rPr>
          <w:b w:val="0"/>
        </w:rPr>
        <w:t>“These results demonstrate the AIRMAC method only. The evidence is synthetic and does not establish assurance for real systems. Domain-wide measurement and improvement evidence for higher maturity levels remains insufficient.”</w:t>
      </w:r>
    </w:p>
    <w:p>
      <w:pPr>
        <w:pStyle w:val="Heading2"/>
      </w:pPr>
      <w:r>
        <w:t>Confirm the two leadership decisions</w:t>
      </w:r>
    </w:p>
    <w:tbl>
      <w:tblPr>
        <w:tblW w:type="auto" w:w="0"/>
        <w:tblLayout w:type="fixed"/>
        <w:tblLook w:firstColumn="1" w:firstRow="1" w:lastColumn="0" w:lastRow="0" w:noHBand="0" w:noVBand="1" w:val="04A0"/>
      </w:tblPr>
      <w:tblGrid>
        <w:gridCol w:w="1440"/>
        <w:gridCol w:w="5256"/>
        <w:gridCol w:w="3528"/>
      </w:tblGrid>
      <w:tr>
        <w:trPr>
          <w:cantSplit/>
          <w:tblHeader/>
        </w:trPr>
        <w:tc>
          <w:tcPr>
            <w:tcW w:type="dxa" w:w="1440"/>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Priority</w:t>
            </w:r>
          </w:p>
        </w:tc>
        <w:tc>
          <w:tcPr>
            <w:tcW w:type="dxa" w:w="5256"/>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Decision and accountable role</w:t>
            </w:r>
          </w:p>
        </w:tc>
        <w:tc>
          <w:tcPr>
            <w:tcW w:type="dxa" w:w="352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Success evidence</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1 High</w:t>
            </w:r>
          </w:p>
        </w:tc>
        <w:tc>
          <w:tcPr>
            <w:tcW w:type="dxa" w:w="525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VP Engineering decides S-01 disposition; Governance Lead corrects acceptance workflow.</w:t>
            </w:r>
          </w:p>
        </w:tc>
        <w:tc>
          <w:tcPr>
            <w:tcW w:type="dxa" w:w="352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Authorized acceptance or rejection; validation check; independent retest.</w:t>
            </w:r>
          </w:p>
        </w:tc>
      </w:tr>
      <w:tr>
        <w:trPr>
          <w:cantSplit/>
        </w:trPr>
        <w:tc>
          <w:tcPr>
            <w:tcW w:type="dxa" w:w="1440"/>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2 Medium</w:t>
            </w:r>
          </w:p>
        </w:tc>
        <w:tc>
          <w:tcPr>
            <w:tcW w:type="dxa" w:w="5256"/>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Sponsor confirms monitoring capacity; Applications Lead assigns S-02 reviewer.</w:t>
            </w:r>
          </w:p>
        </w:tc>
        <w:tc>
          <w:tcPr>
            <w:tcW w:type="dxa" w:w="352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Acknowledged ownership; first review record; independent retest.</w:t>
            </w:r>
          </w:p>
        </w:tc>
      </w:tr>
    </w:tbl>
    <w:p>
      <w:pPr>
        <w:spacing w:after="0"/>
      </w:pPr>
    </w:p>
    <w:p>
      <w:r>
        <w:rPr>
          <w:b w:val="0"/>
        </w:rPr>
        <w:t>Checkpoint: 2 Open findings, each with complete action commitments. Risk acceptance and closure are later decisions; neither should be invented to make the assessment look complete.</w:t>
      </w:r>
    </w:p>
    <w:p>
      <w:r>
        <w:br w:type="page"/>
      </w:r>
    </w:p>
    <w:p>
      <w:pPr>
        <w:pStyle w:val="Heading1"/>
      </w:pPr>
      <w:r>
        <w:t>7  Review finalize export and preserve the baseline</w:t>
      </w:r>
    </w:p>
    <w:p>
      <w:r>
        <w:rPr>
          <w:b/>
        </w:rPr>
        <w:t xml:space="preserve">1. </w:t>
      </w:r>
      <w:r>
        <w:t>In Report &amp; sign-off, inspect Readiness and use each Go button to correct missing information. For a correct worked file, only two readiness messages remain: lead sign-off and reviewer approval. A finalized assessment can contain Open findings; finalization means the assessment is complete, not that every deficiency is fixed.</w:t>
      </w:r>
    </w:p>
    <w:p>
      <w:r>
        <w:rPr>
          <w:b/>
        </w:rPr>
        <w:t xml:space="preserve">2. </w:t>
      </w:r>
      <w:r>
        <w:t>Complete sponsor disposition before reviewer approval. For this demonstration leave Sponsor acceptance status Pending, and leave sponsor signature/date blank. Pending is reported explicitly and does not prevent finalization. If choosing Accepted instead, enter the fictional sponsor and a valid acceptance date.</w:t>
      </w:r>
    </w:p>
    <w:p>
      <w:r>
        <w:rPr>
          <w:b/>
        </w:rPr>
        <w:t xml:space="preserve">3. </w:t>
      </w:r>
      <w:r>
        <w:t>In Sign-off, enter Lead assessor Demo Assessor and Date equal to your actual demonstration date, on or after 2026-10-28 and not in the future. These fields are separate from the scope lead name. Do not imply a real independent review occurred.</w:t>
      </w:r>
    </w:p>
    <w:p>
      <w:r>
        <w:rPr>
          <w:b/>
        </w:rPr>
        <w:t xml:space="preserve">4. </w:t>
      </w:r>
      <w:r>
        <w:t>In Review and sponsor disposition, enter Reviewer identity Demo Reviewer, a valid Reviewer approval date, and Independence statement “Fictional reviewer independent of fieldwork for this training exercise.” Inspect scope, evidence, test applicability, critical exceptions, domain ceilings, findings and roadmap completeness.</w:t>
      </w:r>
    </w:p>
    <w:p>
      <w:r>
        <w:rPr>
          <w:b/>
        </w:rPr>
        <w:t xml:space="preserve">5. </w:t>
      </w:r>
      <w:r>
        <w:t>Select Reviewer approves evidence sufficiency, exclusions, sampling and scoring LAST. Other substantive edits clear this approval. If you edit the summary or another assessment field afterward, repeat the review and reselect approval.</w:t>
      </w:r>
    </w:p>
    <w:p>
      <w:r>
        <w:rPr>
          <w:b/>
        </w:rPr>
        <w:t xml:space="preserve">6. </w:t>
      </w:r>
      <w:r>
        <w:t>When Readiness says every requirement is met, click Mark as final. Expect Final status and a preserved revision 1 snapshot. The overall score remains 3 and the findings remain Open. Self-declared sign-off is a demonstration of workflow, not authenticated identity or a digital signature.</w:t>
      </w:r>
    </w:p>
    <w:p>
      <w:pPr>
        <w:pStyle w:val="Heading2"/>
      </w:pPr>
      <w:r>
        <w:t>Export the deliverables</w:t>
      </w:r>
    </w:p>
    <w:tbl>
      <w:tblPr>
        <w:tblW w:type="auto" w:w="0"/>
        <w:tblLayout w:type="fixed"/>
        <w:tblLook w:firstColumn="1" w:firstRow="1" w:lastColumn="0" w:lastRow="0" w:noHBand="0" w:noVBand="1" w:val="04A0"/>
      </w:tblPr>
      <w:tblGrid>
        <w:gridCol w:w="3600"/>
        <w:gridCol w:w="6624"/>
      </w:tblGrid>
      <w:tr>
        <w:trPr>
          <w:cantSplit/>
          <w:tblHeader/>
        </w:trPr>
        <w:tc>
          <w:tcPr>
            <w:tcW w:type="dxa" w:w="3600"/>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Action</w:t>
            </w:r>
          </w:p>
        </w:tc>
        <w:tc>
          <w:tcPr>
            <w:tcW w:type="dxa" w:w="6624"/>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What to do with the output</w:t>
            </w:r>
          </w:p>
        </w:tc>
      </w:tr>
      <w:tr>
        <w:trPr>
          <w:cantSplit/>
        </w:trPr>
        <w:tc>
          <w:tcPr>
            <w:tcW w:type="dxa" w:w="360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Assessment data or Export JSON</w:t>
            </w:r>
          </w:p>
        </w:tc>
        <w:tc>
          <w:tcPr>
            <w:tcW w:type="dxa" w:w="66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Keep the complete portable assessment, including baselines.</w:t>
            </w:r>
          </w:p>
        </w:tc>
      </w:tr>
      <w:tr>
        <w:trPr>
          <w:cantSplit/>
        </w:trPr>
        <w:tc>
          <w:tcPr>
            <w:tcW w:type="dxa" w:w="3600"/>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Download full report html</w:t>
            </w:r>
          </w:p>
        </w:tc>
        <w:tc>
          <w:tcPr>
            <w:tcW w:type="dxa" w:w="662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Open the downloaded report; inspect the scorecard, limitations, findings, actions and sign-off.</w:t>
            </w:r>
          </w:p>
        </w:tc>
      </w:tr>
      <w:tr>
        <w:trPr>
          <w:cantSplit/>
        </w:trPr>
        <w:tc>
          <w:tcPr>
            <w:tcW w:type="dxa" w:w="360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Findings csv and Inventory csv</w:t>
            </w:r>
          </w:p>
        </w:tc>
        <w:tc>
          <w:tcPr>
            <w:tcW w:type="dxa" w:w="66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Open in a spreadsheet to review commitments and portfolio records.</w:t>
            </w:r>
          </w:p>
        </w:tc>
      </w:tr>
      <w:tr>
        <w:trPr>
          <w:cantSplit/>
        </w:trPr>
        <w:tc>
          <w:tcPr>
            <w:tcW w:type="dxa" w:w="3600"/>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Print to PDF</w:t>
            </w:r>
          </w:p>
        </w:tc>
        <w:tc>
          <w:tcPr>
            <w:tcW w:type="dxa" w:w="662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Use the browser print command on the downloaded report for the leadership PDF.</w:t>
            </w:r>
          </w:p>
        </w:tc>
      </w:tr>
      <w:tr>
        <w:trPr>
          <w:cantSplit/>
        </w:trPr>
        <w:tc>
          <w:tcPr>
            <w:tcW w:type="dxa" w:w="360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Method and files baseline downloads</w:t>
            </w:r>
          </w:p>
        </w:tc>
        <w:tc>
          <w:tcPr>
            <w:tcW w:type="dxa" w:w="66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Download Final revision 1 JSON and report to retain an independent record.</w:t>
            </w:r>
          </w:p>
        </w:tc>
      </w:tr>
    </w:tbl>
    <w:p>
      <w:pPr>
        <w:spacing w:after="0"/>
      </w:pPr>
    </w:p>
    <w:p>
      <w:pPr>
        <w:pStyle w:val="Heading2"/>
      </w:pPr>
      <w:r>
        <w:t>Demonstrate a later revision safely</w:t>
      </w:r>
    </w:p>
    <w:p>
      <w:r>
        <w:rPr>
          <w:b/>
        </w:rPr>
        <w:t xml:space="preserve">7. </w:t>
      </w:r>
      <w:r>
        <w:t>Export first. Then change an action commitment, such as F-02 resources, in the current assessment. Expect Draft revision 2, reviewer approval cleared and the revision 1 baseline still available in Method &amp; files. Review again before finalizing revision 2.</w:t>
      </w:r>
    </w:p>
    <w:p>
      <w:r>
        <w:rPr>
          <w:b w:val="0"/>
        </w:rPr>
        <w:t>For a real corrective action, add new evidence, record the retest and change the finding only after verification against closure criteria. Do not change a failed test to Pass without support. If a gap continues, marking its finding Closed does not satisfy readiness without the required reviewed disposition.</w:t>
      </w:r>
    </w:p>
    <w:p>
      <w:r>
        <w:br w:type="page"/>
      </w:r>
    </w:p>
    <w:p>
      <w:pPr>
        <w:pStyle w:val="Heading1"/>
      </w:pPr>
      <w:r>
        <w:t>8  Practice map for governance risk inventory and people</w:t>
      </w:r>
    </w:p>
    <w:p>
      <w:r>
        <w:rPr>
          <w:b w:val="0"/>
        </w:rPr>
        <w:t>Use this matrix when completing the starter file. Design is Established and both conclusion-confidence fields are Moderate for every row. Fill both sufficiency explanations. “Derived” means AIRMAC calculates operation from the named test; select Effective manually only for rows marked Direct.</w:t>
      </w:r>
    </w:p>
    <w:tbl>
      <w:tblPr>
        <w:tblW w:type="auto" w:w="0"/>
        <w:tblLayout w:type="fixed"/>
        <w:tblLook w:firstColumn="1" w:firstRow="1" w:lastColumn="0" w:lastRow="0" w:noHBand="0" w:noVBand="1" w:val="04A0"/>
      </w:tblPr>
      <w:tblGrid>
        <w:gridCol w:w="3888"/>
        <w:gridCol w:w="1512"/>
        <w:gridCol w:w="2232"/>
        <w:gridCol w:w="2592"/>
      </w:tblGrid>
      <w:tr>
        <w:trPr>
          <w:cantSplit/>
          <w:tblHeader/>
        </w:trPr>
        <w:tc>
          <w:tcPr>
            <w:tcW w:type="dxa" w:w="388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Practice</w:t>
            </w:r>
          </w:p>
        </w:tc>
        <w:tc>
          <w:tcPr>
            <w:tcW w:type="dxa" w:w="151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Design evidence</w:t>
            </w:r>
          </w:p>
        </w:tc>
        <w:tc>
          <w:tcPr>
            <w:tcW w:type="dxa" w:w="223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Operating evidence</w:t>
            </w:r>
          </w:p>
        </w:tc>
        <w:tc>
          <w:tcPr>
            <w:tcW w:type="dxa" w:w="259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Operation</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GOV-1 AI risk management policy</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E-01</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GOV-2 Legal and regulatory requirements</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E-01</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GOV-3 Roles and decision authority</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E-01</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GOV-4 Executive accountability and resourcing</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E-01</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GOV-5 Integration with enterprise risk management</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E-01</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RSK-1 AI risk tolerance</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E-02</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E-10</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RSK-2 Risk tiering criteria</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E-02</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T2 derived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RSK-3 Deployment decision gate</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E-02</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T4 derived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RSK-4 Residual risk acceptance</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E-02</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T5 derived Not operating</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INV-1 AI system inventory</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E-03</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 derived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INV-2 Intake and pre-deployment assessment</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E-03</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T3 derived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INV-3 Change-driven and periodic reassessment</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E-03</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T11 derived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INV-4 Decommissioning and disengagement</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E-03</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T14 derived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PPL-1 Role-based training</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E-04</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T13 derived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PPL-2 Multidisciplinary decision-making</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E-04</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E-12</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PPL-3 Human–AI roles and oversight</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E-04</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T6 derived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PPL-4 Risk culture and raising concerns</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E-04</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E-12</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PPL-5 Impact documentation and communication</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E-04</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T7 derived Effective</w:t>
            </w:r>
          </w:p>
        </w:tc>
      </w:tr>
    </w:tbl>
    <w:p>
      <w:pPr>
        <w:spacing w:after="0"/>
      </w:pPr>
    </w:p>
    <w:p>
      <w:r>
        <w:rPr>
          <w:b w:val="0"/>
        </w:rPr>
        <w:t>For a Direct Effective conclusion, read the domain operating section in AIRMAC_Demo_Evidence.md and explain what it demonstrates. For a derived conclusion, read all three system sections and acknowledge the adverse observation if applicable.</w:t>
      </w:r>
    </w:p>
    <w:p>
      <w:r>
        <w:rPr>
          <w:b w:val="0"/>
        </w:rPr>
        <w:t>RSK-4 is the only gap on this page. Its design remains Established because the delegation is complete; the wrong signer is an implementation failure. No N/A or limitation approval is needed for any practice in this case.</w:t>
      </w:r>
    </w:p>
    <w:p>
      <w:r>
        <w:br w:type="page"/>
      </w:r>
    </w:p>
    <w:p>
      <w:pPr>
        <w:pStyle w:val="Heading1"/>
      </w:pPr>
      <w:r>
        <w:t>9  Practice map and demonstration troubleshooting</w:t>
      </w:r>
    </w:p>
    <w:tbl>
      <w:tblPr>
        <w:tblW w:type="auto" w:w="0"/>
        <w:tblLayout w:type="fixed"/>
        <w:tblLook w:firstColumn="1" w:firstRow="1" w:lastColumn="0" w:lastRow="0" w:noHBand="0" w:noVBand="1" w:val="04A0"/>
      </w:tblPr>
      <w:tblGrid>
        <w:gridCol w:w="3888"/>
        <w:gridCol w:w="1512"/>
        <w:gridCol w:w="2232"/>
        <w:gridCol w:w="2592"/>
      </w:tblGrid>
      <w:tr>
        <w:trPr>
          <w:cantSplit/>
          <w:tblHeader/>
        </w:trPr>
        <w:tc>
          <w:tcPr>
            <w:tcW w:type="dxa" w:w="3888"/>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Practice</w:t>
            </w:r>
          </w:p>
        </w:tc>
        <w:tc>
          <w:tcPr>
            <w:tcW w:type="dxa" w:w="151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Design evidence</w:t>
            </w:r>
          </w:p>
        </w:tc>
        <w:tc>
          <w:tcPr>
            <w:tcW w:type="dxa" w:w="223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Operating evidence</w:t>
            </w:r>
          </w:p>
        </w:tc>
        <w:tc>
          <w:tcPr>
            <w:tcW w:type="dxa" w:w="2592"/>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Operation</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TPR-1 Third-party AI risk policy</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E-05</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E-13</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TPR-2 Due diligence before acquisition</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E-05</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T8 derived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TPR-3 Ongoing third-party monitoring</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E-05</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E-13</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TPR-4 Contingency for third-party failure</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E-05</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E-13</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STK-1 External feedback</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E-06</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E-14</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STK-2 Feedback into design</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E-06</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E-14</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STK-3 User and affected-party reporting</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E-06</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T12 derived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STK-4 Transparency about AI use</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E-06</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E-14</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MON-1 Independent testing and evaluation</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E-07</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T9 derived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MON-2 Post-deployment monitoring</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E-07</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E-17, E-18, E-19</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T10 derived Inconsistent</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MON-3 AI incident response</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E-07</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E-15</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MON-4 Emergent risk tracking</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E-07</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E-15</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IMP-1 Program performance metrics</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E-08</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E-16</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IMP-2 Periodic program review</w:t>
            </w:r>
          </w:p>
        </w:tc>
        <w:tc>
          <w:tcPr>
            <w:tcW w:type="dxa" w:w="151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E-08</w:t>
            </w:r>
          </w:p>
        </w:tc>
        <w:tc>
          <w:tcPr>
            <w:tcW w:type="dxa" w:w="223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E-16</w:t>
            </w:r>
          </w:p>
        </w:tc>
        <w:tc>
          <w:tcPr>
            <w:tcW w:type="dxa" w:w="2592"/>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r>
        <w:trPr>
          <w:cantSplit/>
        </w:trPr>
        <w:tc>
          <w:tcPr>
            <w:tcW w:type="dxa" w:w="388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IMP-3 Lessons learned</w:t>
            </w:r>
          </w:p>
        </w:tc>
        <w:tc>
          <w:tcPr>
            <w:tcW w:type="dxa" w:w="151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E-08</w:t>
            </w:r>
          </w:p>
        </w:tc>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E-16</w:t>
            </w:r>
          </w:p>
        </w:tc>
        <w:tc>
          <w:tcPr>
            <w:tcW w:type="dxa" w:w="259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Direct Effective</w:t>
            </w:r>
          </w:p>
        </w:tc>
      </w:tr>
    </w:tbl>
    <w:p>
      <w:pPr>
        <w:spacing w:after="0"/>
      </w:pPr>
    </w:p>
    <w:p>
      <w:pPr>
        <w:pStyle w:val="Heading2"/>
      </w:pPr>
      <w:r>
        <w:t>If your result differs</w:t>
      </w:r>
    </w:p>
    <w:tbl>
      <w:tblPr>
        <w:tblW w:type="auto" w:w="0"/>
        <w:tblLayout w:type="fixed"/>
        <w:tblLook w:firstColumn="1" w:firstRow="1" w:lastColumn="0" w:lastRow="0" w:noHBand="0" w:noVBand="1" w:val="04A0"/>
      </w:tblPr>
      <w:tblGrid>
        <w:gridCol w:w="2664"/>
        <w:gridCol w:w="7560"/>
      </w:tblGrid>
      <w:tr>
        <w:trPr>
          <w:cantSplit/>
          <w:tblHeader/>
        </w:trPr>
        <w:tc>
          <w:tcPr>
            <w:tcW w:type="dxa" w:w="2664"/>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Symptom</w:t>
            </w:r>
          </w:p>
        </w:tc>
        <w:tc>
          <w:tcPr>
            <w:tcW w:type="dxa" w:w="7560"/>
            <w:vAlign w:val="center"/>
            <w:shd w:fill="233A53"/>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color w:val="FFFFFF"/>
                <w:sz w:val="19"/>
              </w:rPr>
              <w:t>Likely cause and correction</w:t>
            </w:r>
          </w:p>
        </w:tc>
      </w:tr>
      <w:tr>
        <w:trPr>
          <w:cantSplit/>
        </w:trPr>
        <w:tc>
          <w:tcPr>
            <w:tcW w:type="dxa" w:w="266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No overall score</w:t>
            </w:r>
          </w:p>
        </w:tc>
        <w:tc>
          <w:tcPr>
            <w:tcW w:type="dxa" w:w="756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A domain or evidence ceiling is pending, current exceeds ceiling, or a whole domain is N/A. Complete and substantiate all eight domains.</w:t>
            </w:r>
          </w:p>
        </w:tc>
      </w:tr>
      <w:tr>
        <w:trPr>
          <w:cantSplit/>
        </w:trPr>
        <w:tc>
          <w:tcPr>
            <w:tcW w:type="dxa" w:w="266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Operation not verified</w:t>
            </w:r>
          </w:p>
        </w:tc>
        <w:tc>
          <w:tcPr>
            <w:tcW w:type="dxa" w:w="7560"/>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Finish test metadata and valid evidence links, or complete practice operating evidence and sufficiency explanation.</w:t>
            </w:r>
          </w:p>
        </w:tc>
      </w:tr>
      <w:tr>
        <w:trPr>
          <w:cantSplit/>
        </w:trPr>
        <w:tc>
          <w:tcPr>
            <w:tcW w:type="dxa" w:w="266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T8 not Effective</w:t>
            </w:r>
          </w:p>
        </w:tc>
        <w:tc>
          <w:tcPr>
            <w:tcW w:type="dxa" w:w="756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S-03 must be Not applicable with reason; S-01 and S-02 must be complete Pass observations.</w:t>
            </w:r>
          </w:p>
        </w:tc>
      </w:tr>
      <w:tr>
        <w:trPr>
          <w:cantSplit/>
        </w:trPr>
        <w:tc>
          <w:tcPr>
            <w:tcW w:type="dxa" w:w="266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More than two gaps</w:t>
            </w:r>
          </w:p>
        </w:tc>
        <w:tc>
          <w:tcPr>
            <w:tcW w:type="dxa" w:w="7560"/>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Check the matrix. Only S-01/T5 and S-02/T10 fail. Direct organization-wide operation is Effective.</w:t>
            </w:r>
          </w:p>
        </w:tc>
      </w:tr>
      <w:tr>
        <w:trPr>
          <w:cantSplit/>
        </w:trPr>
        <w:tc>
          <w:tcPr>
            <w:tcW w:type="dxa" w:w="266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Final button disabled</w:t>
            </w:r>
          </w:p>
        </w:tc>
        <w:tc>
          <w:tcPr>
            <w:tcW w:type="dxa" w:w="756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Follow Readiness Go links. Complete finding action cards lower on the page, target agreement, lead sign-off and reviewer approval.</w:t>
            </w:r>
          </w:p>
        </w:tc>
      </w:tr>
      <w:tr>
        <w:trPr>
          <w:cantSplit/>
        </w:trPr>
        <w:tc>
          <w:tcPr>
            <w:tcW w:type="dxa" w:w="2664"/>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Approval keeps clearing</w:t>
            </w:r>
          </w:p>
        </w:tc>
        <w:tc>
          <w:tcPr>
            <w:tcW w:type="dxa" w:w="7560"/>
            <w:vAlign w:val="center"/>
            <w:shd w:fill="F2F5F8"/>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line="240" w:lineRule="auto"/>
            </w:pPr>
            <w:r>
              <w:rPr>
                <w:b w:val="0"/>
                <w:color w:val="000000"/>
                <w:sz w:val="19"/>
              </w:rPr>
              <w:t>Complete all edits before checking reviewer approval. Any later substantive edit requires review again.</w:t>
            </w:r>
          </w:p>
        </w:tc>
      </w:tr>
    </w:tbl>
    <w:p>
      <w:pPr>
        <w:spacing w:after="0"/>
      </w:pPr>
    </w:p>
    <w:p>
      <w:r>
        <w:rPr>
          <w:b w:val="0"/>
        </w:rPr>
        <w:t>Validation: both JSON files were imported through the v1.1.0 normalizer. The worked case produces overall 3, target 4, 31 Meets and 2 gaps; adding valid demonstration sign-off satisfies readiness. Guidance was checked against the implemented fields and rules. Visual browser click-through remains unverified in this environment.</w:t>
      </w:r>
    </w:p>
    <w:p>
      <w:r>
        <w:rPr>
          <w:b w:val="0"/>
        </w:rPr>
        <w:t>Use the worked JSON to compare your entries if needed. Export your practice file before importing it. The HTML application itself is unchanged by this demonstration package.</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AIRMAC v1.1.0  |  Training use case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